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7433D511">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30D9E558" w:rsidR="00BE6E07" w:rsidRPr="00973DAD" w:rsidRDefault="00973DAD" w:rsidP="574946DC">
            <w:pPr>
              <w:rPr>
                <w:rFonts w:ascii="Calibri" w:eastAsia="Calibri" w:hAnsi="Calibri" w:cs="Calibri"/>
                <w:sz w:val="22"/>
                <w:szCs w:val="22"/>
              </w:rPr>
            </w:pPr>
            <w:r w:rsidRPr="7433D511">
              <w:rPr>
                <w:rFonts w:ascii="Calibri" w:eastAsia="Calibri" w:hAnsi="Calibri" w:cs="Calibri"/>
                <w:sz w:val="22"/>
                <w:szCs w:val="22"/>
              </w:rPr>
              <w:t xml:space="preserve">Exam Invigilator </w:t>
            </w:r>
          </w:p>
        </w:tc>
      </w:tr>
      <w:tr w:rsidR="00DF308C" w:rsidRPr="00835126" w14:paraId="3AF32572" w14:textId="77777777" w:rsidTr="7433D511">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2FA75312" w:rsidR="00973DAD" w:rsidRPr="00973DAD" w:rsidRDefault="00973DAD" w:rsidP="574946DC">
            <w:pPr>
              <w:rPr>
                <w:rFonts w:ascii="Calibri" w:hAnsi="Calibri" w:cs="Calibri"/>
                <w:sz w:val="22"/>
                <w:szCs w:val="22"/>
              </w:rPr>
            </w:pPr>
            <w:r w:rsidRPr="7433D511">
              <w:rPr>
                <w:rFonts w:ascii="Calibri" w:hAnsi="Calibri" w:cs="Calibri"/>
                <w:sz w:val="22"/>
                <w:szCs w:val="22"/>
              </w:rPr>
              <w:t>Normally</w:t>
            </w:r>
            <w:r w:rsidR="0BB53308" w:rsidRPr="7433D511">
              <w:rPr>
                <w:rFonts w:ascii="Calibri" w:hAnsi="Calibri" w:cs="Calibri"/>
                <w:sz w:val="22"/>
                <w:szCs w:val="22"/>
              </w:rPr>
              <w:t xml:space="preserve"> </w:t>
            </w:r>
            <w:r w:rsidRPr="7433D511">
              <w:rPr>
                <w:rFonts w:ascii="Calibri" w:hAnsi="Calibri" w:cs="Calibri"/>
                <w:sz w:val="22"/>
                <w:szCs w:val="22"/>
              </w:rPr>
              <w:t xml:space="preserve">Invigilators would report for duty at 08.15 for a morning exam session and 13.00 for an afternoon exam session, however there will occasionally be variations to these times in order to meet candidates’ exam needs. Please note that this is a </w:t>
            </w:r>
            <w:r w:rsidR="722EA313" w:rsidRPr="7433D511">
              <w:rPr>
                <w:rFonts w:ascii="Calibri" w:hAnsi="Calibri" w:cs="Calibri"/>
                <w:sz w:val="22"/>
                <w:szCs w:val="22"/>
              </w:rPr>
              <w:t>zero hours</w:t>
            </w:r>
            <w:r w:rsidRPr="7433D511">
              <w:rPr>
                <w:rFonts w:ascii="Calibri" w:hAnsi="Calibri" w:cs="Calibri"/>
                <w:sz w:val="22"/>
                <w:szCs w:val="22"/>
              </w:rPr>
              <w:t xml:space="preserve"> role.</w:t>
            </w:r>
          </w:p>
        </w:tc>
      </w:tr>
      <w:tr w:rsidR="00BE6E07" w:rsidRPr="00835126" w14:paraId="70CAFA34" w14:textId="77777777" w:rsidTr="7433D511">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264CE95" w:rsidR="00BE6E07" w:rsidRPr="00973DAD" w:rsidRDefault="00973DAD" w:rsidP="574946DC">
            <w:pPr>
              <w:rPr>
                <w:rFonts w:ascii="Calibri" w:hAnsi="Calibri" w:cs="Calibri"/>
                <w:sz w:val="22"/>
                <w:szCs w:val="22"/>
              </w:rPr>
            </w:pPr>
            <w:r w:rsidRPr="00973DAD">
              <w:rPr>
                <w:rFonts w:ascii="Calibri" w:hAnsi="Calibri" w:cs="Calibri"/>
                <w:sz w:val="22"/>
                <w:szCs w:val="22"/>
              </w:rPr>
              <w:t>Academic Administration and Exams</w:t>
            </w:r>
          </w:p>
        </w:tc>
      </w:tr>
      <w:tr w:rsidR="00BE6E07" w:rsidRPr="00835126" w14:paraId="3C81FF6A" w14:textId="77777777" w:rsidTr="7433D511">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285C350C" w:rsidR="00BE6E07" w:rsidRPr="00835126" w:rsidRDefault="0071761C" w:rsidP="574946DC">
            <w:pPr>
              <w:rPr>
                <w:rFonts w:ascii="Calibri" w:eastAsia="Calibri" w:hAnsi="Calibri" w:cs="Calibri"/>
                <w:b/>
                <w:bCs/>
                <w:sz w:val="22"/>
                <w:szCs w:val="22"/>
              </w:rPr>
            </w:pPr>
            <w:r>
              <w:rPr>
                <w:rFonts w:ascii="Calibri" w:eastAsia="Calibri" w:hAnsi="Calibri" w:cs="Calibri"/>
                <w:sz w:val="22"/>
                <w:szCs w:val="22"/>
              </w:rPr>
              <w:t>Exams Officer</w:t>
            </w:r>
          </w:p>
        </w:tc>
      </w:tr>
      <w:tr w:rsidR="00BE6E07" w:rsidRPr="00835126" w14:paraId="74762BB1" w14:textId="77777777" w:rsidTr="7433D511">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45505F54" w:rsidR="00BE6E07" w:rsidRPr="00973DAD" w:rsidRDefault="00973DAD" w:rsidP="574946DC">
            <w:pPr>
              <w:rPr>
                <w:rFonts w:ascii="Calibri" w:eastAsia="Calibri" w:hAnsi="Calibri" w:cs="Calibri"/>
                <w:sz w:val="22"/>
                <w:szCs w:val="22"/>
              </w:rPr>
            </w:pPr>
            <w:r w:rsidRPr="00973DAD">
              <w:rPr>
                <w:rFonts w:ascii="Calibri" w:eastAsia="Calibri" w:hAnsi="Calibri" w:cs="Calibri"/>
                <w:sz w:val="22"/>
                <w:szCs w:val="22"/>
              </w:rPr>
              <w:t>No direct reports</w:t>
            </w:r>
          </w:p>
        </w:tc>
      </w:tr>
      <w:tr w:rsidR="009037BF" w:rsidRPr="00835126" w14:paraId="077AD00F" w14:textId="77777777" w:rsidTr="7433D511">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52D51ADD" w:rsidR="009037BF" w:rsidRPr="00835126" w:rsidRDefault="00973DAD">
            <w:pPr>
              <w:rPr>
                <w:rFonts w:ascii="Calibri" w:hAnsi="Calibri" w:cs="Calibri"/>
                <w:sz w:val="22"/>
                <w:szCs w:val="22"/>
              </w:rPr>
            </w:pPr>
            <w:r>
              <w:rPr>
                <w:rFonts w:ascii="Calibri" w:hAnsi="Calibri" w:cs="Calibri"/>
                <w:sz w:val="22"/>
                <w:szCs w:val="22"/>
              </w:rPr>
              <w:t>None</w:t>
            </w:r>
          </w:p>
        </w:tc>
      </w:tr>
      <w:tr w:rsidR="009037BF" w:rsidRPr="00835126" w14:paraId="58121FE2" w14:textId="77777777" w:rsidTr="7433D511">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0A06795B" w:rsidR="009037BF" w:rsidRPr="0071761C" w:rsidRDefault="00973DAD" w:rsidP="00AA728C">
            <w:pPr>
              <w:jc w:val="both"/>
              <w:rPr>
                <w:rFonts w:ascii="Calibri" w:hAnsi="Calibri" w:cs="Calibri"/>
                <w:sz w:val="22"/>
                <w:szCs w:val="22"/>
              </w:rPr>
            </w:pPr>
            <w:r w:rsidRPr="0071761C">
              <w:rPr>
                <w:rFonts w:ascii="Calibri" w:hAnsi="Calibri" w:cs="Calibri"/>
                <w:sz w:val="22"/>
                <w:szCs w:val="22"/>
              </w:rPr>
              <w:t>Stowe School</w:t>
            </w:r>
          </w:p>
        </w:tc>
      </w:tr>
      <w:tr w:rsidR="00BE6E07" w:rsidRPr="00835126" w14:paraId="2DB80EE2" w14:textId="77777777" w:rsidTr="7433D511">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32DF5B59" w14:textId="7455A601" w:rsidR="00973DAD" w:rsidRPr="00973DAD" w:rsidRDefault="00973DAD" w:rsidP="0071761C">
            <w:pPr>
              <w:rPr>
                <w:rFonts w:ascii="Calibri" w:hAnsi="Calibri" w:cs="Calibri"/>
                <w:sz w:val="22"/>
                <w:szCs w:val="22"/>
              </w:rPr>
            </w:pPr>
            <w:r w:rsidRPr="00973DAD">
              <w:rPr>
                <w:rFonts w:ascii="Calibri" w:hAnsi="Calibri" w:cs="Calibri"/>
                <w:sz w:val="22"/>
                <w:szCs w:val="22"/>
              </w:rPr>
              <w:t>To support the Exams Office</w:t>
            </w:r>
            <w:r w:rsidR="0071761C">
              <w:rPr>
                <w:rFonts w:ascii="Calibri" w:hAnsi="Calibri" w:cs="Calibri"/>
                <w:sz w:val="22"/>
                <w:szCs w:val="22"/>
              </w:rPr>
              <w:t xml:space="preserve"> </w:t>
            </w:r>
            <w:r w:rsidRPr="00973DAD">
              <w:rPr>
                <w:rFonts w:ascii="Calibri" w:hAnsi="Calibri" w:cs="Calibri"/>
                <w:sz w:val="22"/>
                <w:szCs w:val="22"/>
              </w:rPr>
              <w:t>in the delivery of the highest standards invigilation and administration of exams within the school.</w:t>
            </w:r>
          </w:p>
          <w:p w14:paraId="3DC03222" w14:textId="77777777" w:rsidR="00973DAD" w:rsidRPr="00973DAD" w:rsidRDefault="00973DAD" w:rsidP="0071761C">
            <w:pPr>
              <w:rPr>
                <w:rFonts w:ascii="Calibri" w:hAnsi="Calibri" w:cs="Calibri"/>
                <w:sz w:val="22"/>
                <w:szCs w:val="22"/>
              </w:rPr>
            </w:pPr>
          </w:p>
          <w:p w14:paraId="73B3EECB" w14:textId="1F590EC9" w:rsidR="00AA728C" w:rsidRPr="00973DAD" w:rsidRDefault="00973DAD" w:rsidP="0071761C">
            <w:pPr>
              <w:rPr>
                <w:rFonts w:ascii="Calibri" w:hAnsi="Calibri" w:cs="Calibri"/>
                <w:sz w:val="22"/>
                <w:szCs w:val="22"/>
              </w:rPr>
            </w:pPr>
            <w:r w:rsidRPr="00973DAD">
              <w:rPr>
                <w:rFonts w:ascii="Calibri" w:hAnsi="Calibri" w:cs="Calibri"/>
                <w:sz w:val="22"/>
                <w:szCs w:val="22"/>
              </w:rPr>
              <w:t>The invigilation workload is shared between the team of invigilators. Within the team there is a Senior Invigilator and a number of Lead invigilators and invigilators will be required to defer to them in the main exam halls. There are external exam periods in November, January and May/June. Mock exams</w:t>
            </w:r>
            <w:r w:rsidR="002B2763">
              <w:rPr>
                <w:rFonts w:ascii="Calibri" w:hAnsi="Calibri" w:cs="Calibri"/>
                <w:sz w:val="22"/>
                <w:szCs w:val="22"/>
              </w:rPr>
              <w:t xml:space="preserve"> are</w:t>
            </w:r>
            <w:r w:rsidRPr="00973DAD">
              <w:rPr>
                <w:rFonts w:ascii="Calibri" w:hAnsi="Calibri" w:cs="Calibri"/>
                <w:sz w:val="22"/>
                <w:szCs w:val="22"/>
              </w:rPr>
              <w:t xml:space="preserve"> timetabled </w:t>
            </w:r>
            <w:r w:rsidR="002B2763">
              <w:rPr>
                <w:rFonts w:ascii="Calibri" w:hAnsi="Calibri" w:cs="Calibri"/>
                <w:sz w:val="22"/>
                <w:szCs w:val="22"/>
              </w:rPr>
              <w:t>in November and February</w:t>
            </w:r>
            <w:r w:rsidRPr="00973DAD">
              <w:rPr>
                <w:rFonts w:ascii="Calibri" w:hAnsi="Calibri" w:cs="Calibri"/>
                <w:sz w:val="22"/>
                <w:szCs w:val="22"/>
              </w:rPr>
              <w:t>.</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7433D511">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7433D511">
        <w:tc>
          <w:tcPr>
            <w:tcW w:w="9286" w:type="dxa"/>
            <w:gridSpan w:val="2"/>
          </w:tcPr>
          <w:p w14:paraId="07C84AAF" w14:textId="21754744" w:rsidR="0071761C" w:rsidRDefault="0071761C" w:rsidP="574946DC">
            <w:pPr>
              <w:jc w:val="both"/>
              <w:rPr>
                <w:rFonts w:eastAsia="Calibri"/>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14CE5B9E" w:rsidR="0071761C" w:rsidRPr="00345437" w:rsidRDefault="0071761C" w:rsidP="574946DC">
            <w:pPr>
              <w:jc w:val="both"/>
            </w:pPr>
          </w:p>
        </w:tc>
      </w:tr>
      <w:tr w:rsidR="00320DEA" w:rsidRPr="00835126" w14:paraId="44DF4120" w14:textId="77777777" w:rsidTr="7433D511">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7433D511">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w:t>
            </w:r>
            <w:r w:rsidRPr="00914F31">
              <w:rPr>
                <w:rFonts w:ascii="Calibri" w:eastAsia="Calibri" w:hAnsi="Calibri" w:cs="Calibri"/>
                <w:sz w:val="22"/>
                <w:szCs w:val="22"/>
                <w:lang w:eastAsia="en-US"/>
              </w:rPr>
              <w:lastRenderedPageBreak/>
              <w:t>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7433D511">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7433D511">
        <w:tc>
          <w:tcPr>
            <w:tcW w:w="9286" w:type="dxa"/>
            <w:gridSpan w:val="2"/>
          </w:tcPr>
          <w:p w14:paraId="3D828BB5"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Key Responsibilities and Accountabilities:</w:t>
            </w:r>
          </w:p>
          <w:p w14:paraId="543673F2" w14:textId="3698E832"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promote the aims of the School at all times with colleagues, parents, pupils and the public</w:t>
            </w:r>
            <w:r w:rsidR="002B2763">
              <w:rPr>
                <w:rFonts w:ascii="Calibri" w:hAnsi="Calibri" w:cs="Calibri"/>
                <w:color w:val="000000"/>
                <w:sz w:val="22"/>
                <w:szCs w:val="22"/>
              </w:rPr>
              <w:t>.</w:t>
            </w:r>
          </w:p>
          <w:p w14:paraId="480AF8E9" w14:textId="134B7715"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assist</w:t>
            </w:r>
            <w:r w:rsidR="002B2763">
              <w:rPr>
                <w:rFonts w:ascii="Calibri" w:hAnsi="Calibri" w:cs="Calibri"/>
                <w:color w:val="000000"/>
                <w:sz w:val="22"/>
                <w:szCs w:val="22"/>
              </w:rPr>
              <w:t xml:space="preserve"> the </w:t>
            </w:r>
            <w:r w:rsidRPr="00973DAD">
              <w:rPr>
                <w:rFonts w:ascii="Calibri" w:hAnsi="Calibri" w:cs="Calibri"/>
                <w:color w:val="000000"/>
                <w:sz w:val="22"/>
                <w:szCs w:val="22"/>
              </w:rPr>
              <w:t>Exams Officer with some of the administrative elements of exams.</w:t>
            </w:r>
          </w:p>
          <w:p w14:paraId="67FBCEFF"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assist in the invigilation of exams within the school.</w:t>
            </w:r>
          </w:p>
          <w:p w14:paraId="4240E9FF"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attend all appropriate Health &amp; Safety (COSHH) and Child Protection training issues related to the pupils, School and Department.</w:t>
            </w:r>
          </w:p>
          <w:p w14:paraId="4F5DC1EA"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ensure that the integrity and security of the exam is maintained at all times and that the exam is conducted in a manner such that no candidate is advantaged or disadvantaged.</w:t>
            </w:r>
          </w:p>
          <w:p w14:paraId="5AE50586"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assist the Exams Officer with the daily running of exams such as carrying exam materials, supervision of rescheduled candidates and supporting candidates with access arrangements.</w:t>
            </w:r>
          </w:p>
          <w:p w14:paraId="1F11C584"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help candidates feel safe and relaxed before and during their exam to ensure they are given the best possible chance of success.</w:t>
            </w:r>
          </w:p>
          <w:p w14:paraId="07D318A5"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ensure all candidates get the correct information and exam paperwork.</w:t>
            </w:r>
          </w:p>
          <w:p w14:paraId="4865348D"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ensure strict JCQ regulations are complied with before, during and after the exam.</w:t>
            </w:r>
          </w:p>
          <w:p w14:paraId="6D9DF16B" w14:textId="51242E6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refer to the Exams Officer on all incidences, suspected malpractice</w:t>
            </w:r>
            <w:r w:rsidR="002B2763">
              <w:rPr>
                <w:rFonts w:ascii="Calibri" w:hAnsi="Calibri" w:cs="Calibri"/>
                <w:color w:val="000000"/>
                <w:sz w:val="22"/>
                <w:szCs w:val="22"/>
              </w:rPr>
              <w:t>,</w:t>
            </w:r>
            <w:r w:rsidRPr="00973DAD">
              <w:rPr>
                <w:rFonts w:ascii="Calibri" w:hAnsi="Calibri" w:cs="Calibri"/>
                <w:color w:val="000000"/>
                <w:sz w:val="22"/>
                <w:szCs w:val="22"/>
              </w:rPr>
              <w:t xml:space="preserve"> and absent candidates.</w:t>
            </w:r>
          </w:p>
          <w:p w14:paraId="5F437ACC"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keep all matters such as candidate’s personal details, exam question papers and candidates’ scripts confidential at all times both within and outside of the School. This also applies to any incidences/events that occur during an exam.</w:t>
            </w:r>
          </w:p>
          <w:p w14:paraId="3ACAD7B9" w14:textId="1246E043"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xml:space="preserve">· To be familiar with the latest version of the publication JCQ Instructions for </w:t>
            </w:r>
            <w:r w:rsidR="002B2763">
              <w:rPr>
                <w:rFonts w:ascii="Calibri" w:hAnsi="Calibri" w:cs="Calibri"/>
                <w:color w:val="000000"/>
                <w:sz w:val="22"/>
                <w:szCs w:val="22"/>
              </w:rPr>
              <w:t>C</w:t>
            </w:r>
            <w:r w:rsidRPr="00973DAD">
              <w:rPr>
                <w:rFonts w:ascii="Calibri" w:hAnsi="Calibri" w:cs="Calibri"/>
                <w:color w:val="000000"/>
                <w:sz w:val="22"/>
                <w:szCs w:val="22"/>
              </w:rPr>
              <w:t xml:space="preserve">onducting </w:t>
            </w:r>
            <w:r w:rsidR="002B2763">
              <w:rPr>
                <w:rFonts w:ascii="Calibri" w:hAnsi="Calibri" w:cs="Calibri"/>
                <w:color w:val="000000"/>
                <w:sz w:val="22"/>
                <w:szCs w:val="22"/>
              </w:rPr>
              <w:t>E</w:t>
            </w:r>
            <w:r w:rsidRPr="00973DAD">
              <w:rPr>
                <w:rFonts w:ascii="Calibri" w:hAnsi="Calibri" w:cs="Calibri"/>
                <w:color w:val="000000"/>
                <w:sz w:val="22"/>
                <w:szCs w:val="22"/>
              </w:rPr>
              <w:t>xams in order to comply with regulations.</w:t>
            </w:r>
          </w:p>
          <w:p w14:paraId="12C2B877"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set up the exam room to meet JCQ requirements. Helping as required to carry exam papers, boxes, laptops, and organising photocopying of modified papers.</w:t>
            </w:r>
          </w:p>
          <w:p w14:paraId="532B620E"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lay out question/answer booklets and candidate cards to match seating plan.</w:t>
            </w:r>
          </w:p>
          <w:p w14:paraId="425D8F19"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ensure exam paperwork is never left unattended.</w:t>
            </w:r>
          </w:p>
          <w:p w14:paraId="1A478E06"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lastRenderedPageBreak/>
              <w:t>· To create a formal atmosphere within the exam room and ensure candidates enter the exam room in silence and in an orderly fashion.</w:t>
            </w:r>
          </w:p>
          <w:p w14:paraId="46202AC9"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If and when required, to make the necessary announcements at the start of the exam and ensure candidates have all the information/materials they need.</w:t>
            </w:r>
          </w:p>
          <w:p w14:paraId="5B163A1C"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If and when required, to complete the board(s) at the front of the exam room to ensure that centre number, exam reference number, start and finish times are accurate and visible.</w:t>
            </w:r>
          </w:p>
          <w:p w14:paraId="7EC01CE2"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report absences within the first 30 minutes of the exam.</w:t>
            </w:r>
          </w:p>
          <w:p w14:paraId="2B210CB4" w14:textId="7BA2759F"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deal with late candidates as per JCQ regulations.</w:t>
            </w:r>
          </w:p>
          <w:p w14:paraId="2DF11FF2" w14:textId="3D859176"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move around the exam room quietly</w:t>
            </w:r>
            <w:r w:rsidR="002B2763">
              <w:rPr>
                <w:rFonts w:ascii="Calibri" w:hAnsi="Calibri" w:cs="Calibri"/>
                <w:color w:val="000000"/>
                <w:sz w:val="22"/>
                <w:szCs w:val="22"/>
              </w:rPr>
              <w:t>,</w:t>
            </w:r>
            <w:r w:rsidRPr="00973DAD">
              <w:rPr>
                <w:rFonts w:ascii="Calibri" w:hAnsi="Calibri" w:cs="Calibri"/>
                <w:color w:val="000000"/>
                <w:sz w:val="22"/>
                <w:szCs w:val="22"/>
              </w:rPr>
              <w:t xml:space="preserve"> observing candidates without causing a disturbance</w:t>
            </w:r>
            <w:r w:rsidR="002B2763">
              <w:rPr>
                <w:rFonts w:ascii="Calibri" w:hAnsi="Calibri" w:cs="Calibri"/>
                <w:color w:val="000000"/>
                <w:sz w:val="22"/>
                <w:szCs w:val="22"/>
              </w:rPr>
              <w:t>,</w:t>
            </w:r>
            <w:r w:rsidRPr="00973DAD">
              <w:rPr>
                <w:rFonts w:ascii="Calibri" w:hAnsi="Calibri" w:cs="Calibri"/>
                <w:color w:val="000000"/>
                <w:sz w:val="22"/>
                <w:szCs w:val="22"/>
              </w:rPr>
              <w:t xml:space="preserve"> and monitoring for signs of cheating, communication or pupils who are looking unwell.</w:t>
            </w:r>
          </w:p>
          <w:p w14:paraId="1663567E"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deal with any candidate queries before and during the exam in a calm and reassuring way.</w:t>
            </w:r>
          </w:p>
          <w:p w14:paraId="7BF9CF80"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comply with both Awarding Body and School exam procedures and complete required paperwork accurately e.g. details of any irregularities, late candidates, invigilator signing in/out sheet and sheet confirming supervision of rescheduled candidates.</w:t>
            </w:r>
          </w:p>
          <w:p w14:paraId="399A5664"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If and when required, to stop the exam after the correct duration, collect all the exam paperwork whilst ensuring formal exam conditions are maintained until the candidates have left the room. Sort candidate scripts by candidate number and ensure they are collated to match the Awarding Body’s register.</w:t>
            </w:r>
          </w:p>
          <w:p w14:paraId="70F0FB97"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identify candidates that need to be under supervision due to a rescheduled exam and follow the school procedures regarding clash supervision</w:t>
            </w:r>
          </w:p>
          <w:p w14:paraId="67F0B1B6"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assist in clearing up after the exams and be responsible for the return all candidates’ scripts, question papers and materials to the Exams office ensuring they are kept secure at all times.</w:t>
            </w:r>
          </w:p>
          <w:p w14:paraId="17DE75A7"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If and when required, to assist with the evacuation of and closely supervise candidates in the event of an emergency.</w:t>
            </w:r>
          </w:p>
          <w:p w14:paraId="4C5435AC"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be trained on and then deliver arrangements required by candidates who have special requirements whilst sitting their exam. These may range from acting as a Reader or Scribe, through to separate room invigilation.</w:t>
            </w:r>
          </w:p>
          <w:p w14:paraId="559BF58E" w14:textId="77777777" w:rsidR="00973DAD" w:rsidRPr="00973DAD"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To attend training sessions at the School.</w:t>
            </w:r>
          </w:p>
          <w:p w14:paraId="4E10882A" w14:textId="25D9BF67" w:rsidR="00AA728C" w:rsidRDefault="00973DAD" w:rsidP="00973DAD">
            <w:pPr>
              <w:pStyle w:val="NormalWeb"/>
              <w:rPr>
                <w:rFonts w:ascii="Calibri" w:hAnsi="Calibri" w:cs="Calibri"/>
                <w:color w:val="000000"/>
                <w:sz w:val="22"/>
                <w:szCs w:val="22"/>
              </w:rPr>
            </w:pPr>
            <w:r w:rsidRPr="00973DAD">
              <w:rPr>
                <w:rFonts w:ascii="Calibri" w:hAnsi="Calibri" w:cs="Calibri"/>
                <w:color w:val="000000"/>
                <w:sz w:val="22"/>
                <w:szCs w:val="22"/>
              </w:rPr>
              <w:t xml:space="preserve">· To assist </w:t>
            </w:r>
            <w:r w:rsidR="002B2763">
              <w:rPr>
                <w:rFonts w:ascii="Calibri" w:hAnsi="Calibri" w:cs="Calibri"/>
                <w:color w:val="000000"/>
                <w:sz w:val="22"/>
                <w:szCs w:val="22"/>
              </w:rPr>
              <w:t>the Exams Officer</w:t>
            </w:r>
            <w:r w:rsidRPr="00973DAD">
              <w:rPr>
                <w:rFonts w:ascii="Calibri" w:hAnsi="Calibri" w:cs="Calibri"/>
                <w:color w:val="000000"/>
                <w:sz w:val="22"/>
                <w:szCs w:val="22"/>
              </w:rPr>
              <w:t xml:space="preserve"> with any requests that help to ensure the smooth running of the exams</w:t>
            </w:r>
            <w:r w:rsidR="002B2763">
              <w:rPr>
                <w:rFonts w:ascii="Calibri" w:hAnsi="Calibri" w:cs="Calibri"/>
                <w:color w:val="000000"/>
                <w:sz w:val="22"/>
                <w:szCs w:val="22"/>
              </w:rPr>
              <w:t>.</w:t>
            </w:r>
            <w:bookmarkStart w:id="0" w:name="_GoBack"/>
            <w:bookmarkEnd w:id="0"/>
          </w:p>
          <w:p w14:paraId="3165684E" w14:textId="77777777" w:rsidR="00973DAD" w:rsidRPr="00973DAD" w:rsidRDefault="00973DAD" w:rsidP="00973DAD">
            <w:pPr>
              <w:pStyle w:val="NormalWeb"/>
              <w:rPr>
                <w:rFonts w:ascii="Calibri" w:hAnsi="Calibri" w:cs="Calibri"/>
                <w:color w:val="000000"/>
                <w:sz w:val="22"/>
                <w:szCs w:val="22"/>
              </w:rPr>
            </w:pPr>
          </w:p>
          <w:p w14:paraId="6D4E09A9" w14:textId="77777777" w:rsidR="00AA728C" w:rsidRPr="00973DAD"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05E7A8A1" w14:textId="77777777" w:rsidR="0071761C" w:rsidRDefault="0071761C"/>
    <w:p w14:paraId="6EDE1AC6" w14:textId="77777777" w:rsidR="0071761C" w:rsidRDefault="00717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172"/>
        <w:gridCol w:w="3156"/>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5AA4686D" w:rsidR="0047312C" w:rsidRDefault="00973DAD" w:rsidP="00AA728C">
            <w:pPr>
              <w:pStyle w:val="ListParagraph"/>
              <w:numPr>
                <w:ilvl w:val="0"/>
                <w:numId w:val="7"/>
              </w:numPr>
              <w:spacing w:after="0" w:line="240" w:lineRule="auto"/>
            </w:pPr>
            <w:r>
              <w:t>Proven administrative skills</w:t>
            </w:r>
          </w:p>
        </w:tc>
        <w:tc>
          <w:tcPr>
            <w:tcW w:w="3242" w:type="dxa"/>
          </w:tcPr>
          <w:p w14:paraId="014808B5" w14:textId="77777777" w:rsidR="0047312C" w:rsidRDefault="0047312C" w:rsidP="0071761C"/>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3FC76A96" w14:textId="77777777" w:rsidR="00973DAD" w:rsidRDefault="00973DAD" w:rsidP="00AA728C">
            <w:pPr>
              <w:pStyle w:val="ListParagraph"/>
              <w:numPr>
                <w:ilvl w:val="0"/>
                <w:numId w:val="7"/>
              </w:numPr>
              <w:spacing w:after="0" w:line="240" w:lineRule="auto"/>
              <w:rPr>
                <w:rFonts w:cs="Verdana"/>
              </w:rPr>
            </w:pPr>
            <w:r w:rsidRPr="00973DAD">
              <w:rPr>
                <w:rFonts w:cs="Verdana"/>
              </w:rPr>
              <w:t xml:space="preserve">An attention to detail and knowledge of exams systems </w:t>
            </w:r>
          </w:p>
          <w:p w14:paraId="761B6A4D" w14:textId="530D4972" w:rsidR="0047312C" w:rsidRDefault="00973DAD" w:rsidP="00AA728C">
            <w:pPr>
              <w:pStyle w:val="ListParagraph"/>
              <w:numPr>
                <w:ilvl w:val="0"/>
                <w:numId w:val="7"/>
              </w:numPr>
              <w:spacing w:after="0" w:line="240" w:lineRule="auto"/>
              <w:rPr>
                <w:rFonts w:cs="Verdana"/>
              </w:rPr>
            </w:pPr>
            <w:r w:rsidRPr="00973DAD">
              <w:rPr>
                <w:rFonts w:cs="Verdana"/>
              </w:rPr>
              <w:t>A commitment to safeguard and promote the welfare of children.</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tcPr>
          <w:p w14:paraId="18AF1AC0" w14:textId="741D1D17" w:rsidR="0047312C" w:rsidRPr="00835126" w:rsidRDefault="00973DAD" w:rsidP="00AA728C">
            <w:pPr>
              <w:numPr>
                <w:ilvl w:val="0"/>
                <w:numId w:val="7"/>
              </w:numPr>
              <w:rPr>
                <w:rFonts w:ascii="Calibri" w:hAnsi="Calibri" w:cs="Arial"/>
                <w:sz w:val="22"/>
                <w:szCs w:val="22"/>
              </w:rPr>
            </w:pPr>
            <w:r>
              <w:rPr>
                <w:rFonts w:ascii="Calibri" w:hAnsi="Calibri" w:cs="Arial"/>
                <w:sz w:val="22"/>
                <w:szCs w:val="22"/>
              </w:rPr>
              <w:t>Previous invigilation experience</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801D51C" w14:textId="77777777" w:rsidR="00AA728C" w:rsidRDefault="00973DAD" w:rsidP="00AA728C">
            <w:pPr>
              <w:pStyle w:val="ListParagraph"/>
              <w:numPr>
                <w:ilvl w:val="0"/>
                <w:numId w:val="7"/>
              </w:numPr>
              <w:spacing w:after="0" w:line="240" w:lineRule="auto"/>
              <w:rPr>
                <w:rFonts w:cs="Verdana"/>
              </w:rPr>
            </w:pPr>
            <w:r>
              <w:rPr>
                <w:rFonts w:cs="Verdana"/>
              </w:rPr>
              <w:t>An ability to deal with emergent situations</w:t>
            </w:r>
          </w:p>
          <w:p w14:paraId="2CB49A0A" w14:textId="7025B5ED" w:rsidR="0071761C" w:rsidRPr="00835126" w:rsidRDefault="0071761C" w:rsidP="00AA728C">
            <w:pPr>
              <w:pStyle w:val="ListParagraph"/>
              <w:numPr>
                <w:ilvl w:val="0"/>
                <w:numId w:val="7"/>
              </w:numPr>
              <w:spacing w:after="0" w:line="240" w:lineRule="auto"/>
              <w:rPr>
                <w:rFonts w:cs="Verdana"/>
              </w:rPr>
            </w:pPr>
            <w:r>
              <w:rPr>
                <w:rFonts w:cs="Verdana"/>
              </w:rPr>
              <w:t>Calm under pressure</w:t>
            </w:r>
          </w:p>
        </w:tc>
        <w:tc>
          <w:tcPr>
            <w:tcW w:w="3242" w:type="dxa"/>
          </w:tcPr>
          <w:p w14:paraId="278639CA" w14:textId="77777777" w:rsidR="0047312C" w:rsidRDefault="0047312C" w:rsidP="0071761C">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3FCB093C"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71761C">
              <w:rPr>
                <w:rFonts w:ascii="Calibri" w:hAnsi="Calibri" w:cs="Calibri"/>
                <w:b/>
                <w:bCs/>
                <w:sz w:val="22"/>
                <w:szCs w:val="22"/>
              </w:rPr>
              <w:t>March 2026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7A8B1E5D" w14:textId="77777777" w:rsidR="00973DAD" w:rsidRDefault="00973DAD"/>
    <w:p w14:paraId="424357BE" w14:textId="77777777" w:rsidR="00973DAD" w:rsidRDefault="00973DAD"/>
    <w:p w14:paraId="42F86323" w14:textId="77777777" w:rsidR="00973DAD" w:rsidRDefault="00973DAD"/>
    <w:p w14:paraId="7444A20A" w14:textId="77777777" w:rsidR="00973DAD" w:rsidRDefault="00973DAD"/>
    <w:p w14:paraId="66EB3964" w14:textId="77777777" w:rsidR="00973DAD" w:rsidRDefault="00973DAD"/>
    <w:p w14:paraId="16E94914" w14:textId="77777777" w:rsidR="00973DAD" w:rsidRDefault="00973DAD"/>
    <w:p w14:paraId="7394A2FA" w14:textId="77777777" w:rsidR="00973DAD" w:rsidRDefault="00973DAD"/>
    <w:p w14:paraId="51D056B8" w14:textId="77777777" w:rsidR="00973DAD" w:rsidRDefault="00973DAD"/>
    <w:p w14:paraId="2F5468B9" w14:textId="77777777" w:rsidR="00973DAD" w:rsidRDefault="00973DAD"/>
    <w:p w14:paraId="0C3C401E" w14:textId="77777777" w:rsidR="00973DAD" w:rsidRDefault="00973DAD"/>
    <w:p w14:paraId="56BEA2BE" w14:textId="77777777" w:rsidR="00973DAD" w:rsidRDefault="00973DAD"/>
    <w:p w14:paraId="5208B2F1" w14:textId="77777777" w:rsidR="00973DAD" w:rsidRDefault="00973DAD"/>
    <w:p w14:paraId="6196D8F7" w14:textId="77777777" w:rsidR="00973DAD" w:rsidRDefault="00973DAD"/>
    <w:p w14:paraId="0B59ACA8" w14:textId="77777777" w:rsidR="00973DAD" w:rsidRDefault="00973DAD"/>
    <w:p w14:paraId="0BAB94B1" w14:textId="77777777" w:rsidR="00973DAD" w:rsidRDefault="00973DAD"/>
    <w:p w14:paraId="0C5752EB" w14:textId="77777777" w:rsidR="00973DAD" w:rsidRDefault="00973DAD"/>
    <w:p w14:paraId="6E033F28" w14:textId="77777777" w:rsidR="00973DAD" w:rsidRDefault="00973DAD"/>
    <w:p w14:paraId="08FE049E" w14:textId="77777777" w:rsidR="00973DAD" w:rsidRDefault="00973DAD"/>
    <w:p w14:paraId="72B9BF28" w14:textId="77777777" w:rsidR="00973DAD" w:rsidRDefault="00973DAD"/>
    <w:p w14:paraId="765E807E" w14:textId="77777777" w:rsidR="00973DAD" w:rsidRDefault="00973DAD"/>
    <w:p w14:paraId="62674D9A" w14:textId="77777777" w:rsidR="00973DAD" w:rsidRDefault="00973DAD"/>
    <w:p w14:paraId="497C7A9C" w14:textId="77777777" w:rsidR="00973DAD" w:rsidRDefault="00973DAD"/>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7412E7B6"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973DAD">
              <w:rPr>
                <w:rFonts w:ascii="Calibri" w:hAnsi="Calibri" w:cs="Calibri"/>
                <w:b/>
                <w:bCs/>
                <w:sz w:val="22"/>
                <w:szCs w:val="22"/>
              </w:rPr>
              <w:t xml:space="preserve">Exam </w:t>
            </w:r>
            <w:proofErr w:type="gramStart"/>
            <w:r w:rsidR="00973DAD">
              <w:rPr>
                <w:rFonts w:ascii="Calibri" w:hAnsi="Calibri" w:cs="Calibri"/>
                <w:b/>
                <w:bCs/>
                <w:sz w:val="22"/>
                <w:szCs w:val="22"/>
              </w:rPr>
              <w:t>invigilator</w:t>
            </w:r>
            <w:proofErr w:type="gramEnd"/>
            <w:r w:rsidR="00973DAD">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71761C">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71761C">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71761C">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71761C">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71761C">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71761C">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CA9ED" w14:textId="77777777" w:rsidR="000D32EB" w:rsidRDefault="000D32EB">
      <w:r>
        <w:separator/>
      </w:r>
    </w:p>
  </w:endnote>
  <w:endnote w:type="continuationSeparator" w:id="0">
    <w:p w14:paraId="411DC288" w14:textId="77777777" w:rsidR="000D32EB" w:rsidRDefault="000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D159A" w14:textId="77777777" w:rsidR="000D32EB" w:rsidRDefault="000D32EB">
      <w:r>
        <w:separator/>
      </w:r>
    </w:p>
  </w:footnote>
  <w:footnote w:type="continuationSeparator" w:id="0">
    <w:p w14:paraId="53BE8EE9" w14:textId="77777777" w:rsidR="000D32EB" w:rsidRDefault="000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8"/>
  </w:num>
  <w:num w:numId="2">
    <w:abstractNumId w:val="26"/>
  </w:num>
  <w:num w:numId="3">
    <w:abstractNumId w:val="27"/>
  </w:num>
  <w:num w:numId="4">
    <w:abstractNumId w:val="22"/>
  </w:num>
  <w:num w:numId="5">
    <w:abstractNumId w:val="10"/>
  </w:num>
  <w:num w:numId="6">
    <w:abstractNumId w:val="15"/>
  </w:num>
  <w:num w:numId="7">
    <w:abstractNumId w:val="16"/>
  </w:num>
  <w:num w:numId="8">
    <w:abstractNumId w:val="17"/>
  </w:num>
  <w:num w:numId="9">
    <w:abstractNumId w:val="14"/>
  </w:num>
  <w:num w:numId="10">
    <w:abstractNumId w:val="19"/>
  </w:num>
  <w:num w:numId="11">
    <w:abstractNumId w:val="3"/>
  </w:num>
  <w:num w:numId="12">
    <w:abstractNumId w:val="11"/>
  </w:num>
  <w:num w:numId="13">
    <w:abstractNumId w:val="20"/>
  </w:num>
  <w:num w:numId="14">
    <w:abstractNumId w:val="24"/>
  </w:num>
  <w:num w:numId="15">
    <w:abstractNumId w:val="0"/>
  </w:num>
  <w:num w:numId="16">
    <w:abstractNumId w:val="6"/>
  </w:num>
  <w:num w:numId="17">
    <w:abstractNumId w:val="1"/>
  </w:num>
  <w:num w:numId="18">
    <w:abstractNumId w:val="13"/>
  </w:num>
  <w:num w:numId="19">
    <w:abstractNumId w:val="18"/>
  </w:num>
  <w:num w:numId="20">
    <w:abstractNumId w:val="5"/>
  </w:num>
  <w:num w:numId="21">
    <w:abstractNumId w:val="4"/>
  </w:num>
  <w:num w:numId="22">
    <w:abstractNumId w:val="2"/>
  </w:num>
  <w:num w:numId="23">
    <w:abstractNumId w:val="12"/>
  </w:num>
  <w:num w:numId="24">
    <w:abstractNumId w:val="21"/>
  </w:num>
  <w:num w:numId="25">
    <w:abstractNumId w:val="7"/>
  </w:num>
  <w:num w:numId="26">
    <w:abstractNumId w:val="25"/>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D32EB"/>
    <w:rsid w:val="000F4F2D"/>
    <w:rsid w:val="00100AE7"/>
    <w:rsid w:val="00105391"/>
    <w:rsid w:val="00106796"/>
    <w:rsid w:val="001326E2"/>
    <w:rsid w:val="001541ED"/>
    <w:rsid w:val="001615CE"/>
    <w:rsid w:val="00161A37"/>
    <w:rsid w:val="00164BFA"/>
    <w:rsid w:val="00172393"/>
    <w:rsid w:val="00187BA0"/>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2763"/>
    <w:rsid w:val="002B5FAA"/>
    <w:rsid w:val="002D037F"/>
    <w:rsid w:val="002D1CAA"/>
    <w:rsid w:val="002E3325"/>
    <w:rsid w:val="002E4FAF"/>
    <w:rsid w:val="002F1B2D"/>
    <w:rsid w:val="002F655D"/>
    <w:rsid w:val="0030024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5C27"/>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1761C"/>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3DAD"/>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27E1"/>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B14F9"/>
    <w:rsid w:val="00FC039B"/>
    <w:rsid w:val="00FC5A42"/>
    <w:rsid w:val="00FE4500"/>
    <w:rsid w:val="02FF8FF9"/>
    <w:rsid w:val="0BB53308"/>
    <w:rsid w:val="10D3452D"/>
    <w:rsid w:val="13CF494E"/>
    <w:rsid w:val="14E7E078"/>
    <w:rsid w:val="23C1EF81"/>
    <w:rsid w:val="2445833F"/>
    <w:rsid w:val="2A233A37"/>
    <w:rsid w:val="32B4B548"/>
    <w:rsid w:val="332DEA78"/>
    <w:rsid w:val="37A98B4B"/>
    <w:rsid w:val="3D51C719"/>
    <w:rsid w:val="574946DC"/>
    <w:rsid w:val="586A6BF8"/>
    <w:rsid w:val="60D825B9"/>
    <w:rsid w:val="6CF74147"/>
    <w:rsid w:val="722EA313"/>
    <w:rsid w:val="7433D511"/>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973DAD"/>
    <w:pPr>
      <w:spacing w:before="100" w:beforeAutospacing="1" w:after="100" w:afterAutospacing="1"/>
    </w:pPr>
  </w:style>
  <w:style w:type="character" w:customStyle="1" w:styleId="normaltextrun">
    <w:name w:val="normaltextrun"/>
    <w:basedOn w:val="DefaultParagraphFont"/>
    <w:rsid w:val="0071761C"/>
  </w:style>
  <w:style w:type="character" w:customStyle="1" w:styleId="eop">
    <w:name w:val="eop"/>
    <w:basedOn w:val="DefaultParagraphFont"/>
    <w:rsid w:val="0071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78041">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934367147">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41624DE6-A4C9-4DD8-83F6-704408DA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7928</Characters>
  <Application>Microsoft Office Word</Application>
  <DocSecurity>0</DocSecurity>
  <Lines>66</Lines>
  <Paragraphs>18</Paragraphs>
  <ScaleCrop>false</ScaleCrop>
  <Company>Stowe School</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David Lynes</cp:lastModifiedBy>
  <cp:revision>3</cp:revision>
  <cp:lastPrinted>2012-02-27T10:31:00Z</cp:lastPrinted>
  <dcterms:created xsi:type="dcterms:W3CDTF">2026-03-25T09:30:00Z</dcterms:created>
  <dcterms:modified xsi:type="dcterms:W3CDTF">2026-03-25T13:51:00Z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